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F179BF" w:rsidTr="009E6B5E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F179BF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20"/>
                <w:szCs w:val="20"/>
              </w:rPr>
            </w:pPr>
            <w:r w:rsidRPr="00F179BF">
              <w:rPr>
                <w:rFonts w:ascii="Arial" w:hAnsi="Arial" w:cs="Arial"/>
                <w:b/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F179BF" w:rsidRDefault="00671520" w:rsidP="009E6B5E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9BF">
              <w:rPr>
                <w:rFonts w:ascii="Arial" w:hAnsi="Arial" w:cs="Arial"/>
                <w:b/>
                <w:sz w:val="20"/>
                <w:szCs w:val="20"/>
              </w:rPr>
              <w:t xml:space="preserve">Mikrobiologia kliniczna 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F179BF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F179BF" w:rsidRDefault="00BF1BC0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CD0414" w:rsidRPr="00F179BF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F179BF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Nazwa zajęć w</w:t>
            </w:r>
            <w:r w:rsidR="00CD0414" w:rsidRPr="00F179BF">
              <w:rPr>
                <w:rFonts w:ascii="Arial" w:hAnsi="Arial" w:cs="Arial"/>
                <w:b/>
                <w:sz w:val="16"/>
                <w:szCs w:val="16"/>
              </w:rPr>
              <w:t xml:space="preserve"> j. angielski</w:t>
            </w:r>
            <w:r w:rsidRPr="00F179BF"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="00CD0414" w:rsidRPr="00F179BF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F179BF" w:rsidRDefault="00671520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Clinical microbiology</w:t>
            </w:r>
          </w:p>
        </w:tc>
      </w:tr>
      <w:tr w:rsidR="00CD0414" w:rsidRPr="00F179B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F179BF" w:rsidRDefault="00CD0414" w:rsidP="00CD0414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F179BF" w:rsidRDefault="006476C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Bioinżynieria zwierząt</w:t>
            </w:r>
          </w:p>
        </w:tc>
      </w:tr>
      <w:tr w:rsidR="00CD0414" w:rsidRPr="00F179BF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F179BF" w:rsidRDefault="00CD0414" w:rsidP="00CD0414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F179BF" w:rsidRDefault="00CD0414" w:rsidP="00CD0414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07BBF" w:rsidRPr="00F179BF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F179BF" w:rsidRDefault="00207BBF" w:rsidP="00965A2D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Język wykładowy:</w:t>
            </w:r>
            <w:r w:rsidR="00C24FF3" w:rsidRPr="00F179BF">
              <w:rPr>
                <w:rFonts w:ascii="Arial" w:hAnsi="Arial" w:cs="Arial"/>
                <w:b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F179BF" w:rsidRDefault="00207BBF" w:rsidP="006C766B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F179BF" w:rsidRDefault="00207BBF" w:rsidP="00965A2D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Poziom studiów:</w:t>
            </w:r>
            <w:r w:rsidR="007C18AC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</w:t>
            </w:r>
            <w:r w:rsidR="00C24FF3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F179BF" w:rsidRDefault="00207BBF" w:rsidP="00207BB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0414" w:rsidRPr="00F179BF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F179BF" w:rsidRDefault="006C766B" w:rsidP="00965A2D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F179BF" w:rsidRDefault="00C24FF3" w:rsidP="006C766B">
            <w:pPr>
              <w:spacing w:line="240" w:lineRule="auto"/>
              <w:rPr>
                <w:rFonts w:ascii="Arial" w:hAnsi="Arial" w:cs="Arial"/>
                <w:b/>
                <w:sz w:val="20"/>
                <w:szCs w:val="16"/>
              </w:rPr>
            </w:pPr>
            <w:r w:rsidRPr="00F179BF">
              <w:rPr>
                <w:rFonts w:ascii="Arial" w:hAnsi="Arial" w:cs="Arial"/>
                <w:b/>
                <w:sz w:val="20"/>
                <w:szCs w:val="16"/>
              </w:rPr>
              <w:t>x</w:t>
            </w:r>
            <w:r w:rsidR="006C766B" w:rsidRPr="00F179BF">
              <w:rPr>
                <w:rFonts w:ascii="Arial" w:hAnsi="Arial" w:cs="Arial"/>
                <w:b/>
                <w:sz w:val="20"/>
                <w:szCs w:val="16"/>
              </w:rPr>
              <w:t xml:space="preserve"> </w:t>
            </w:r>
            <w:r w:rsidR="006C766B" w:rsidRPr="00F179BF">
              <w:rPr>
                <w:rFonts w:ascii="Arial" w:hAnsi="Arial" w:cs="Arial"/>
                <w:b/>
                <w:sz w:val="16"/>
                <w:szCs w:val="16"/>
              </w:rPr>
              <w:t>stacjonarne</w:t>
            </w:r>
          </w:p>
          <w:p w:rsidR="00CD0414" w:rsidRPr="00F179BF" w:rsidRDefault="006C766B" w:rsidP="006C766B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20"/>
                <w:szCs w:val="16"/>
              </w:rPr>
              <w:sym w:font="Wingdings" w:char="F0A8"/>
            </w:r>
            <w:r w:rsidRPr="00F179BF">
              <w:rPr>
                <w:rFonts w:ascii="Arial" w:hAnsi="Arial" w:cs="Arial"/>
                <w:b/>
                <w:sz w:val="20"/>
                <w:szCs w:val="16"/>
              </w:rPr>
              <w:t xml:space="preserve"> </w:t>
            </w:r>
            <w:r w:rsidRPr="00F179BF">
              <w:rPr>
                <w:rFonts w:ascii="Arial" w:hAnsi="Arial" w:cs="Arial"/>
                <w:b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F179BF" w:rsidRDefault="006C766B" w:rsidP="00965A2D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F179BF" w:rsidRDefault="00EE788E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476C3" w:rsidRPr="00F179BF">
              <w:rPr>
                <w:rFonts w:ascii="Arial" w:hAnsi="Arial" w:cs="Arial"/>
                <w:b/>
                <w:sz w:val="16"/>
                <w:szCs w:val="16"/>
              </w:rPr>
              <w:sym w:font="Wingdings" w:char="F0A8"/>
            </w:r>
            <w:r w:rsidR="006476C3" w:rsidRPr="00F179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C766B" w:rsidRPr="00F179BF"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6C766B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odstawowe</w:t>
            </w:r>
          </w:p>
          <w:p w:rsidR="00CD0414" w:rsidRPr="00F179BF" w:rsidRDefault="006476C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20"/>
                <w:szCs w:val="16"/>
              </w:rPr>
              <w:t>x</w:t>
            </w:r>
            <w:r w:rsidRPr="00F179BF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 </w:t>
            </w:r>
            <w:r w:rsidR="006C766B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F179BF" w:rsidRDefault="006476C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20"/>
                <w:szCs w:val="16"/>
              </w:rPr>
              <w:sym w:font="Wingdings" w:char="F0A8"/>
            </w:r>
            <w:r w:rsidR="006C766B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obowiązkowe </w:t>
            </w:r>
          </w:p>
          <w:p w:rsidR="00CD0414" w:rsidRPr="00F179BF" w:rsidRDefault="006476C3" w:rsidP="006C766B">
            <w:pPr>
              <w:spacing w:line="240" w:lineRule="auto"/>
              <w:rPr>
                <w:rFonts w:ascii="Arial" w:hAnsi="Arial" w:cs="Arial"/>
                <w:b/>
                <w:sz w:val="20"/>
                <w:szCs w:val="16"/>
              </w:rPr>
            </w:pPr>
            <w:r w:rsidRPr="00F179BF">
              <w:rPr>
                <w:rFonts w:ascii="Arial" w:hAnsi="Arial" w:cs="Arial"/>
                <w:b/>
                <w:sz w:val="20"/>
                <w:szCs w:val="16"/>
              </w:rPr>
              <w:t>x</w:t>
            </w:r>
            <w:r w:rsidR="006C766B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F179BF" w:rsidRDefault="00207BBF" w:rsidP="001C5F03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CD0414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umer semestru: </w:t>
            </w:r>
            <w:r w:rsidR="001C5F03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C6B31" w:rsidRPr="00F179BF" w:rsidRDefault="00322D59" w:rsidP="00965A2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CD0414" w:rsidRPr="00F179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CD0414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semestr </w:t>
            </w:r>
            <w:r w:rsidR="00965A2D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zimowy</w:t>
            </w:r>
          </w:p>
          <w:p w:rsidR="00CD0414" w:rsidRPr="00F179BF" w:rsidRDefault="00207BBF" w:rsidP="00322D59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20"/>
                <w:szCs w:val="16"/>
              </w:rPr>
              <w:sym w:font="Wingdings" w:char="F0A8"/>
            </w:r>
            <w:r w:rsidR="00CD0414" w:rsidRPr="00F179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CD0414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semestr </w:t>
            </w:r>
            <w:r w:rsidR="00965A2D" w:rsidRPr="00F179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letni </w:t>
            </w:r>
          </w:p>
        </w:tc>
      </w:tr>
      <w:tr w:rsidR="00CD0414" w:rsidRPr="00F179BF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F179BF" w:rsidRDefault="00CD0414" w:rsidP="00CD0414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F179BF" w:rsidRDefault="00CD0414" w:rsidP="00CD0414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F179BF" w:rsidRDefault="00CD0414" w:rsidP="00CD0414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Rok akademicki, od którego obowiązuje</w:t>
            </w:r>
            <w:r w:rsidR="006C766B" w:rsidRPr="00F179BF">
              <w:rPr>
                <w:rFonts w:ascii="Arial" w:hAnsi="Arial" w:cs="Arial"/>
                <w:b/>
                <w:sz w:val="16"/>
                <w:szCs w:val="16"/>
              </w:rPr>
              <w:t xml:space="preserve"> opis</w:t>
            </w:r>
            <w:r w:rsidR="000C4232" w:rsidRPr="00F179BF">
              <w:rPr>
                <w:rFonts w:ascii="Arial" w:hAnsi="Arial" w:cs="Arial"/>
                <w:b/>
                <w:sz w:val="16"/>
                <w:szCs w:val="16"/>
              </w:rPr>
              <w:t xml:space="preserve"> (rocznik)</w:t>
            </w:r>
            <w:r w:rsidRPr="00F179BF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F179BF" w:rsidRDefault="00CD0414" w:rsidP="00881F8F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881F8F">
              <w:rPr>
                <w:rFonts w:ascii="Arial" w:hAnsi="Arial" w:cs="Arial"/>
                <w:b/>
                <w:sz w:val="16"/>
                <w:szCs w:val="16"/>
              </w:rPr>
              <w:t>21</w:t>
            </w:r>
            <w:r w:rsidRPr="00F179BF">
              <w:rPr>
                <w:rFonts w:ascii="Arial" w:hAnsi="Arial" w:cs="Arial"/>
                <w:b/>
                <w:sz w:val="16"/>
                <w:szCs w:val="16"/>
              </w:rPr>
              <w:t>/202</w:t>
            </w:r>
            <w:r w:rsidR="00881F8F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F179BF" w:rsidRDefault="00CD0414" w:rsidP="00CD0414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F179BF" w:rsidRDefault="006476C3" w:rsidP="00C56A73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WNZ-BW</w:t>
            </w:r>
            <w:r w:rsidR="00006BA2" w:rsidRPr="00F179BF">
              <w:rPr>
                <w:rFonts w:ascii="Arial" w:hAnsi="Arial" w:cs="Arial"/>
                <w:b/>
                <w:sz w:val="16"/>
                <w:szCs w:val="16"/>
              </w:rPr>
              <w:t>-1</w:t>
            </w:r>
            <w:r w:rsidR="00C24FF3" w:rsidRPr="00F179BF">
              <w:rPr>
                <w:rFonts w:ascii="Arial" w:hAnsi="Arial" w:cs="Arial"/>
                <w:b/>
                <w:sz w:val="16"/>
                <w:szCs w:val="16"/>
              </w:rPr>
              <w:t>S-</w:t>
            </w:r>
            <w:r w:rsidR="006B7D3E" w:rsidRPr="00F179BF">
              <w:rPr>
                <w:rFonts w:ascii="Arial" w:hAnsi="Arial" w:cs="Arial"/>
                <w:b/>
                <w:sz w:val="16"/>
                <w:szCs w:val="16"/>
              </w:rPr>
              <w:t>06L</w:t>
            </w:r>
            <w:r w:rsidR="00267777" w:rsidRPr="00F179BF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006BA2" w:rsidRPr="00F179BF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381081" w:rsidRPr="00F179BF">
              <w:rPr>
                <w:rFonts w:ascii="Arial" w:hAnsi="Arial" w:cs="Arial"/>
                <w:b/>
                <w:sz w:val="16"/>
                <w:szCs w:val="16"/>
              </w:rPr>
              <w:t>5.2</w:t>
            </w:r>
            <w:r w:rsidR="00006BA2" w:rsidRPr="00F179BF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F179BF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F179BF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F179B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F179BF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881F8F" w:rsidRDefault="00F179BF" w:rsidP="00211C1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bCs/>
                <w:sz w:val="16"/>
                <w:szCs w:val="16"/>
              </w:rPr>
              <w:t>Dr Ilona Stefańska</w:t>
            </w:r>
          </w:p>
        </w:tc>
      </w:tr>
      <w:tr w:rsidR="00ED11F9" w:rsidRPr="00F179B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F179BF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881F8F" w:rsidRDefault="00881F8F" w:rsidP="00881F8F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Ilona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Stefańska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, 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hab. Magdalena Rzewuska, prof SGGW,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mgr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Ewelina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Kwiecień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Anna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Słońska-Zielonka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, 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hab. Joanna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Cymerys-Bulenda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Małgorzata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Biegańska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hab. Magdalena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Kizerwetter-Świda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Agnieszka </w:t>
            </w:r>
            <w:proofErr w:type="spellStart"/>
            <w:r w:rsidRPr="00881F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Sałamaszyńska-Guz</w:t>
            </w:r>
            <w:proofErr w:type="spellEnd"/>
          </w:p>
        </w:tc>
      </w:tr>
      <w:tr w:rsidR="00ED11F9" w:rsidRPr="00F179B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F179BF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881F8F" w:rsidRDefault="00F179B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bCs/>
                <w:sz w:val="16"/>
                <w:szCs w:val="16"/>
              </w:rPr>
              <w:t>Instytut Medycyny Weterynaryjnej, Katedra Nauk Przedklinicznych</w:t>
            </w:r>
            <w:r w:rsidR="00E03D4D">
              <w:rPr>
                <w:rFonts w:ascii="Arial" w:hAnsi="Arial" w:cs="Arial"/>
                <w:b/>
                <w:bCs/>
                <w:sz w:val="16"/>
                <w:szCs w:val="16"/>
              </w:rPr>
              <w:t>, Zakład Mikrobiologii</w:t>
            </w:r>
          </w:p>
        </w:tc>
      </w:tr>
      <w:tr w:rsidR="00ED11F9" w:rsidRPr="00F179B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F179BF" w:rsidRDefault="00ED11F9" w:rsidP="00CD0414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Jednostka</w:t>
            </w:r>
            <w:r w:rsidR="00966E0B" w:rsidRPr="00F179BF">
              <w:rPr>
                <w:rFonts w:ascii="Arial" w:hAnsi="Arial" w:cs="Arial"/>
                <w:b/>
                <w:sz w:val="16"/>
                <w:szCs w:val="16"/>
              </w:rPr>
              <w:t xml:space="preserve"> zlecająca</w:t>
            </w:r>
            <w:r w:rsidRPr="00F179BF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F179BF" w:rsidRDefault="00F179B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881F8F" w:rsidRPr="00F179B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881F8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Tematyka wykładów: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Schemat rutynowej diagnostyki mikrobiologicznej zakażeń bakteryjnych. Metody klasyczne oraz metody biologii molekularnej stosowane w diagnostyce i identyfikacji zakażeń drobnoustrojami. Charakterystyka grup taksonomicznych obejmujących bakterie patogenne: 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- tlenowe lub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mikroaerofilne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pałeczki i ziarniaki Gram-ujemne (m.in.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Bordetella</w:t>
            </w:r>
            <w:proofErr w:type="spellEnd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Brucella</w:t>
            </w:r>
            <w:proofErr w:type="spellEnd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Pseudomonas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rodzina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Vibrionaceae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Pasteurellaceae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), 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- względnie beztlenowe pałeczki Gram-ujemne z rzędu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Enterobacterales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(m. in. rodzaj </w:t>
            </w:r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Escherichia, Salmonella,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Klebsiella</w:t>
            </w:r>
            <w:proofErr w:type="spellEnd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Yersinia</w:t>
            </w:r>
            <w:proofErr w:type="spellEnd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Proteus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), 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- ziarniaki Gram-dodatnie (m. in. rodzaj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Staphylococcus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Streptococcus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Enterococcus</w:t>
            </w:r>
            <w:proofErr w:type="spellEnd"/>
            <w:r w:rsidRPr="00881F8F">
              <w:rPr>
                <w:rFonts w:ascii="Arial" w:hAnsi="Arial" w:cs="Arial"/>
                <w:b/>
                <w:iCs/>
                <w:sz w:val="16"/>
                <w:szCs w:val="16"/>
              </w:rPr>
              <w:t>)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- wytwarzające spory laseczki Gram-dodatnie z rodzaju: </w:t>
            </w:r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Clostridium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Bacillus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Paenibacillus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niesporujące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regularne, pałeczki Gram-dodatnie, rodzaje: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Erysipelotrix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Listeria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-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niesporujące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nieregularne pałeczki Gram-dodatnie (m.in. rodzaj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Corynebacterium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Actinomyces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Arcanobacterium</w:t>
            </w:r>
            <w:proofErr w:type="spellEnd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,</w:t>
            </w:r>
            <w:r w:rsidRPr="00881F8F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Trueperella</w:t>
            </w:r>
            <w:proofErr w:type="spellEnd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Rhodococcus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), rodzaj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Mycobacterium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mykoplazmy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beztlenowe pałeczki Gram-ujemne. 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-  krętki (m.in.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Brachyspira</w:t>
            </w:r>
            <w:proofErr w:type="spellEnd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Borrelia</w:t>
            </w:r>
            <w:proofErr w:type="spellEnd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, Leptospira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), bakterie przecinkowate i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helikalne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z rodzaju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Campylobacter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Helicobacter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- mykologia: </w:t>
            </w:r>
            <w:r>
              <w:rPr>
                <w:rFonts w:ascii="Arial" w:hAnsi="Arial" w:cs="Arial"/>
                <w:b/>
                <w:sz w:val="16"/>
                <w:szCs w:val="16"/>
              </w:rPr>
              <w:t>g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rzyby patogenne i warunkowo chorobotwórcze – charakterystyka zakażeń grzybiczych i czynniki sprzyjające zakażeniom oportunistycznym. Patogeneza zakażeń grzybami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dimorficznymi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drożdżopodobnymi – grzybice narządowe endemiczne, inwazyjne i oportunistyczne. Patogeneza zakażeń grzybami strzępkowymi – grzybice narządowe, inwazyjne i oportunistyczne. 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Mykotoksyny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mykotoksykozy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- choroby wirusowe – problemy i zagrożenia. Patogeneza zakażeń wirusowych. Wybrane zakażenia wirusowe: SARS-Cov-2, SARS, MERS, Influenza. Wybrane zakażenia wirusowe c.d.: kleszczowe zapalenie mózgu,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Nipah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Ebola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inne gorączki krwotoczne. Nowe choroby i czynniki zakaźne – „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emerging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diseases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>”.</w:t>
            </w:r>
          </w:p>
          <w:p w:rsidR="00881F8F" w:rsidRPr="00881F8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881F8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Tematyka ćwiczeń:</w:t>
            </w:r>
          </w:p>
          <w:p w:rsidR="00881F8F" w:rsidRPr="00881F8F" w:rsidRDefault="00881F8F" w:rsidP="00881F8F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Organizacja zajęć. Omówienie sposobu realizacji programu. Rygory BHP. Podstawowe metody badań mikrobiologicznych: badanie mikroskopowe, posiewy, izolacja czystych kultur,  identyfikacja gatunkowa i oznaczanie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lekowrażliwości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drobnoustrojów. Metody oznaczania wybranych mechanizmów lekooporności. Wykrywanie zakażeń wywoływanych przez tlenowe lub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mikroaerofilne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pałeczki i ziarniaki z rodzaju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Brucella</w:t>
            </w:r>
            <w:proofErr w:type="spellEnd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Bordetella</w:t>
            </w:r>
            <w:proofErr w:type="spellEnd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, 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Pseudomonas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Diagnostyka laboratoryjna w kierunku Gram-ujemnych pałeczek z rodzaju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Pasteurella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Mannheimia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Metody diagnostyczne i podłoża stosowane w diagnostyce pałeczek jelitowych. Rutynowe badania bakteriologiczne w obrębie rodziny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Enterobacteraiceae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badania ukierunkowane (</w:t>
            </w:r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Salmonella,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Yersinia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),  wymagające wstępnego namnożenia poszukiwanego czynnika. Różnicowanie biochemiczne pałeczek jelitowych – metody klasyczne i testy API. Identyfikacja serologiczna pałeczek </w:t>
            </w:r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Salmonella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diagnostyka zakażeń wywoływanych przez patogenne i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enterotoksyczne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szczepy </w:t>
            </w:r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E. coli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Badania bakteriologiczne ropy, wymazów z ran lub błon śluzowych w kierunku drobnoustrojów ropotwórczych (Gran-dodatnie ziarniaki). Metody i technika badania bakterii beztlenowych; badanie w kierunku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sporujących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Gram-dodatnich laseczek beztlenowych z rodzaju </w:t>
            </w:r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Clostridium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diagnostyka bakteriologiczna laseczek tlenowych z rodzaju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Bacillus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Badanie w kierunku regularnych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niesporujących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pałeczek Gram-dodatnich - diagnostyka bakteriologiczna różycy świń oraz wykrywanie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listerii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chorobotwórczych dla ludzi i zwierząt. Badanie w kierunku nieregularnych pałeczek Gram-dodatnich: 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Actinomyces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Mycobacterium</w:t>
            </w:r>
            <w:proofErr w:type="spellEnd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Arcanobacterium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Trueperella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Diagnostyka bakteriologiczna zakażeń wywoływanych przez bakterie z rodzaju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Corynebacterium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</w:t>
            </w:r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81F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Rhodococcus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 Badanie bakteriologiczne w kierunku zakażeń wywoływanych przez krętki, bakterie przecinkowate i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helikalne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z rodzaju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Campylobacter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</w:t>
            </w:r>
            <w:proofErr w:type="spellStart"/>
            <w:r w:rsidRPr="00881F8F">
              <w:rPr>
                <w:rFonts w:ascii="Arial" w:hAnsi="Arial" w:cs="Arial"/>
                <w:b/>
                <w:i/>
                <w:sz w:val="16"/>
                <w:szCs w:val="16"/>
              </w:rPr>
              <w:t>Helicobacter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. Mykologia: Badanie mikroskopowe i hodowla grzybów. Badanie w kierunku zakażeń dermatofitami, bezpośrednie badanie mikroskopowe, technika posiewu materiałów klinicznych na podłoże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mykologiczne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identyfikacja dermatofitów na podstawie oceny morfologii hodowli, test perforacji włosa. Badanie w kierunku zakażeń grzybami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dimorficznymi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drożdżopodobnymi: metody identyfikacji grzybów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dimorficznych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i drożdżopodobnych, test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filamentacji</w:t>
            </w:r>
            <w:proofErr w:type="spellEnd"/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, identyfikacja biochemiczna grzybów. Podstawowe techniki diagnostyczne stosowane w rozpoznawaniu wirusowych chorób zwierząt. Terapia </w:t>
            </w:r>
            <w:proofErr w:type="spellStart"/>
            <w:r w:rsidRPr="00881F8F">
              <w:rPr>
                <w:rFonts w:ascii="Arial" w:hAnsi="Arial" w:cs="Arial"/>
                <w:b/>
                <w:sz w:val="16"/>
                <w:szCs w:val="16"/>
              </w:rPr>
              <w:t>fagowa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881F8F" w:rsidRPr="00F179BF" w:rsidTr="00562D5C">
        <w:trPr>
          <w:trHeight w:val="557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1F8F" w:rsidRPr="00881F8F" w:rsidRDefault="00881F8F" w:rsidP="00881F8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Wykłady (2 godz. tygodniowo </w:t>
            </w:r>
            <w:r>
              <w:rPr>
                <w:rFonts w:ascii="Arial" w:hAnsi="Arial" w:cs="Arial"/>
                <w:b/>
                <w:sz w:val="16"/>
                <w:szCs w:val="16"/>
              </w:rPr>
              <w:t>przez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15 tygodni); liczba godzin 30;</w:t>
            </w:r>
          </w:p>
          <w:p w:rsidR="00881F8F" w:rsidRPr="00881F8F" w:rsidRDefault="00881F8F" w:rsidP="00881F8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b/>
                <w:sz w:val="16"/>
                <w:szCs w:val="16"/>
              </w:rPr>
            </w:pPr>
            <w:r w:rsidRPr="00881F8F">
              <w:rPr>
                <w:rFonts w:ascii="Arial" w:hAnsi="Arial" w:cs="Arial"/>
                <w:b/>
                <w:sz w:val="16"/>
                <w:szCs w:val="16"/>
              </w:rPr>
              <w:t>ćwiczenia  laboratoryjne (3 godz. tygodniowo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(2+1)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przez</w:t>
            </w:r>
            <w:r w:rsidRPr="00881F8F">
              <w:rPr>
                <w:rFonts w:ascii="Arial" w:hAnsi="Arial" w:cs="Arial"/>
                <w:b/>
                <w:sz w:val="16"/>
                <w:szCs w:val="16"/>
              </w:rPr>
              <w:t xml:space="preserve"> 15 tygodni);  liczba godzin 45;</w:t>
            </w:r>
          </w:p>
        </w:tc>
      </w:tr>
      <w:tr w:rsidR="00881F8F" w:rsidRPr="00F179BF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lastRenderedPageBreak/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1F8F" w:rsidRPr="00881F8F" w:rsidRDefault="00881F8F" w:rsidP="00881F8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301"/>
            </w:tblGrid>
            <w:tr w:rsidR="00881F8F" w:rsidRPr="00881F8F">
              <w:trPr>
                <w:trHeight w:val="323"/>
              </w:trPr>
              <w:tc>
                <w:tcPr>
                  <w:tcW w:w="7301" w:type="dxa"/>
                </w:tcPr>
                <w:p w:rsidR="00881F8F" w:rsidRPr="00881F8F" w:rsidRDefault="00881F8F" w:rsidP="00390DD1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881F8F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Wykłady monograficzne z wizualizacją w Power Point, </w:t>
                  </w:r>
                </w:p>
                <w:p w:rsidR="00881F8F" w:rsidRPr="00881F8F" w:rsidRDefault="00881F8F" w:rsidP="00390DD1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881F8F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Ćwiczenia laboratoryjne polegające na samodzielnym wykonaniu przez studentów przewidzianych planem zadań, konsultacje </w:t>
                  </w:r>
                </w:p>
              </w:tc>
            </w:tr>
          </w:tbl>
          <w:p w:rsidR="00881F8F" w:rsidRPr="00881F8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81F8F" w:rsidRPr="00F179B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 xml:space="preserve">Wymagania formalne </w:t>
            </w:r>
          </w:p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brak</w:t>
            </w:r>
          </w:p>
        </w:tc>
      </w:tr>
      <w:tr w:rsidR="00881F8F" w:rsidRPr="00F179BF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Wiedza:</w:t>
            </w:r>
          </w:p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W1 – podstawy funkcjonowania drobnoustrojów i ich rolę w różnych zwierzęcych ekosystemach,</w:t>
            </w:r>
          </w:p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W2 -  różne grupy bakterii, grzybów i wirusów, wywoływane przez nie choroby, czynniki warunkujące chorobotwórczość drobnoustrojów oraz mechanizmy patogenezy</w:t>
            </w:r>
          </w:p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Umiejętności:</w:t>
            </w:r>
          </w:p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U1 –  posługiwać się zasadami i technikami pracy w laboratorium mikrobiologicznym, zna zasady pobierania i przesyłania materiałów biologicznych do badań laboratoryjnych, nabył umiejętności izolacji i rozpoznawania czynników zakaźnych</w:t>
            </w:r>
          </w:p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U2 –  interpretować wyniki badań mikrobiologicznych</w:t>
            </w:r>
          </w:p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</w:rPr>
              <w:t>Kompetencje:</w:t>
            </w:r>
          </w:p>
          <w:p w:rsidR="00881F8F" w:rsidRPr="00F179BF" w:rsidRDefault="00881F8F" w:rsidP="00881F8F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K1 - uczenia się przez całe życie </w:t>
            </w:r>
          </w:p>
        </w:tc>
      </w:tr>
      <w:tr w:rsidR="00881F8F" w:rsidRPr="00F179BF" w:rsidTr="00562D5C">
        <w:trPr>
          <w:trHeight w:val="391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E03D4D" w:rsidRPr="00E03D4D" w:rsidRDefault="00E03D4D" w:rsidP="00EB655C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W1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2, </w:t>
            </w:r>
            <w:r>
              <w:rPr>
                <w:rFonts w:ascii="Arial" w:hAnsi="Arial" w:cs="Arial"/>
                <w:b/>
                <w:sz w:val="16"/>
                <w:szCs w:val="16"/>
              </w:rPr>
              <w:t>U1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16"/>
                <w:szCs w:val="16"/>
              </w:rPr>
              <w:t>U2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–sprawdziany pisemne na zajęciach ćwiczeniowych</w:t>
            </w:r>
          </w:p>
          <w:p w:rsidR="00881F8F" w:rsidRPr="00F179BF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1, </w:t>
            </w: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, K1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-  egzamin pisemny</w:t>
            </w:r>
          </w:p>
        </w:tc>
      </w:tr>
      <w:tr w:rsidR="00881F8F" w:rsidRPr="00F179BF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E03D4D" w:rsidRPr="00E03D4D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tudent zobowiązany jest do zaliczenia </w:t>
            </w:r>
            <w:r w:rsidRPr="00E03D4D">
              <w:rPr>
                <w:rFonts w:ascii="Arial" w:hAnsi="Arial" w:cs="Arial"/>
                <w:b/>
                <w:sz w:val="16"/>
                <w:szCs w:val="16"/>
                <w:u w:val="single"/>
              </w:rPr>
              <w:t>trzech kolokwiów pisemnych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(kolokwia przechowywane i udostępniane w miarę potrzeby).  Na poszczególnych kolokwiach obowiązuje materiał </w:t>
            </w:r>
            <w:r w:rsidR="00EB655C">
              <w:rPr>
                <w:rFonts w:ascii="Arial" w:hAnsi="Arial" w:cs="Arial"/>
                <w:b/>
                <w:sz w:val="16"/>
                <w:szCs w:val="16"/>
              </w:rPr>
              <w:t>wg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harmonogramu ćwiczeń laboratoryjnych. Do zaliczenia kolokwium wymagane jest zdobycie minimum </w:t>
            </w:r>
            <w:r w:rsidR="00EB655C">
              <w:rPr>
                <w:rFonts w:ascii="Arial" w:hAnsi="Arial" w:cs="Arial"/>
                <w:b/>
                <w:sz w:val="16"/>
                <w:szCs w:val="16"/>
              </w:rPr>
              <w:t>51%</w:t>
            </w:r>
          </w:p>
          <w:p w:rsidR="00E03D4D" w:rsidRPr="00E03D4D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Na ocenę z ćwiczeń składa się średnia ocena z kolokwiów pisemnych (łącznie z ocenami niedostatecznymi uzyskanymi w pierwszym terminie) oraz </w:t>
            </w:r>
            <w:r w:rsidR="00EB655C">
              <w:rPr>
                <w:rFonts w:ascii="Arial" w:hAnsi="Arial" w:cs="Arial"/>
                <w:b/>
                <w:sz w:val="16"/>
                <w:szCs w:val="16"/>
              </w:rPr>
              <w:t xml:space="preserve">sprawozdania z wykonanego 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>zadania praktycznego</w:t>
            </w:r>
            <w:r w:rsidR="00EB655C">
              <w:rPr>
                <w:rFonts w:ascii="Arial" w:hAnsi="Arial" w:cs="Arial"/>
                <w:b/>
                <w:sz w:val="16"/>
                <w:szCs w:val="16"/>
              </w:rPr>
              <w:t xml:space="preserve"> podsumowującego część dotyczącą diagnostyki bakteriologicznej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:rsidR="00E03D4D" w:rsidRPr="00E03D4D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03D4D" w:rsidRPr="00E03D4D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3D4D">
              <w:rPr>
                <w:rFonts w:ascii="Arial" w:hAnsi="Arial" w:cs="Arial"/>
                <w:b/>
                <w:sz w:val="16"/>
                <w:szCs w:val="16"/>
                <w:u w:val="single"/>
              </w:rPr>
              <w:t>Egzamin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Pr="00E03D4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egzaminu mogą przystąpić tylko studenci, którzy uczestniczyli w zajęciach (tj. 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nie przekroczyli wg. Regulaminu SGGW dopuszczalnej liczby nieobecności na zajęciach</w:t>
            </w:r>
            <w:r w:rsidRPr="00E03D4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oraz uzyskali ocenę pozytywną (co najmniej ocenę dostateczną) ze wszystkich okresowych kolokwiów pisemnych i zadania praktycznego. </w:t>
            </w:r>
          </w:p>
          <w:p w:rsidR="00E03D4D" w:rsidRPr="00E03D4D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3D4D">
              <w:rPr>
                <w:rFonts w:ascii="Arial" w:hAnsi="Arial" w:cs="Arial"/>
                <w:b/>
                <w:sz w:val="16"/>
                <w:szCs w:val="16"/>
              </w:rPr>
              <w:t>Egzamin jest pisemny, w formie pytań o charakterze opisowym (przechowywany i udostępniony w miarę potrzeby). Zaliczenie egzaminu w obydwu terminach odbywa się w tej samej formie.</w:t>
            </w:r>
          </w:p>
          <w:p w:rsidR="00E03D4D" w:rsidRPr="00E03D4D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03D4D" w:rsidRPr="00E03D4D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3D4D">
              <w:rPr>
                <w:rFonts w:ascii="Arial" w:hAnsi="Arial" w:cs="Arial"/>
                <w:b/>
                <w:sz w:val="16"/>
                <w:szCs w:val="16"/>
                <w:u w:val="single"/>
              </w:rPr>
              <w:t>Aktywność na ćwiczeniach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: prowadzący ćwiczenia ocenia  przygotowanie studentów do ćwiczeń oraz ich zaangażowanie  w </w:t>
            </w:r>
            <w:r w:rsidR="00EB655C" w:rsidRPr="00E03D4D">
              <w:rPr>
                <w:rFonts w:ascii="Arial" w:hAnsi="Arial" w:cs="Arial"/>
                <w:b/>
                <w:sz w:val="16"/>
                <w:szCs w:val="16"/>
              </w:rPr>
              <w:t>praktyczn</w:t>
            </w:r>
            <w:r w:rsidR="00EB655C">
              <w:rPr>
                <w:rFonts w:ascii="Arial" w:hAnsi="Arial" w:cs="Arial"/>
                <w:b/>
                <w:sz w:val="16"/>
                <w:szCs w:val="16"/>
              </w:rPr>
              <w:t>ą część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03D4D">
              <w:rPr>
                <w:rFonts w:ascii="Arial" w:hAnsi="Arial" w:cs="Arial"/>
                <w:b/>
                <w:sz w:val="16"/>
                <w:szCs w:val="16"/>
              </w:rPr>
              <w:t>ćwicze</w:t>
            </w:r>
            <w:r w:rsidR="00EB655C">
              <w:rPr>
                <w:rFonts w:ascii="Arial" w:hAnsi="Arial" w:cs="Arial"/>
                <w:b/>
                <w:sz w:val="16"/>
                <w:szCs w:val="16"/>
              </w:rPr>
              <w:t>ńniową</w:t>
            </w:r>
            <w:proofErr w:type="spellEnd"/>
            <w:r w:rsidRPr="00E03D4D">
              <w:rPr>
                <w:rFonts w:ascii="Arial" w:hAnsi="Arial" w:cs="Arial"/>
                <w:b/>
                <w:sz w:val="16"/>
                <w:szCs w:val="16"/>
              </w:rPr>
              <w:t>. Aktywn</w:t>
            </w:r>
            <w:r w:rsidR="00EB655C">
              <w:rPr>
                <w:rFonts w:ascii="Arial" w:hAnsi="Arial" w:cs="Arial"/>
                <w:b/>
                <w:sz w:val="16"/>
                <w:szCs w:val="16"/>
              </w:rPr>
              <w:t>ym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student</w:t>
            </w:r>
            <w:r w:rsidR="00EB655C">
              <w:rPr>
                <w:rFonts w:ascii="Arial" w:hAnsi="Arial" w:cs="Arial"/>
                <w:b/>
                <w:sz w:val="16"/>
                <w:szCs w:val="16"/>
              </w:rPr>
              <w:t>om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może zostać przyznany „+”, brany pod uwagę podczas wystawiania oceny końcowej z przedmiotu.</w:t>
            </w:r>
          </w:p>
          <w:p w:rsidR="00E03D4D" w:rsidRPr="00E03D4D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81F8F" w:rsidRPr="00F179BF" w:rsidRDefault="00E03D4D" w:rsidP="00EB65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3D4D">
              <w:rPr>
                <w:rFonts w:ascii="Arial" w:hAnsi="Arial" w:cs="Arial"/>
                <w:b/>
                <w:sz w:val="16"/>
                <w:szCs w:val="16"/>
              </w:rPr>
              <w:t>W przypadku odgórnego zawieszenia zajęć w Uczelni i konieczności nauczania zdalnego/hybrydowego dopuszcza się inne formy weryfikacji efektów uczenia się w sposób adekwatny do sytuacji.</w:t>
            </w:r>
          </w:p>
        </w:tc>
      </w:tr>
      <w:tr w:rsidR="00881F8F" w:rsidRPr="00F179BF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Elementy i wagi mające wpływ</w:t>
            </w:r>
          </w:p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881F8F" w:rsidRPr="00E03D4D" w:rsidRDefault="00881F8F" w:rsidP="00E03D4D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3D4D">
              <w:rPr>
                <w:rFonts w:ascii="Arial" w:hAnsi="Arial" w:cs="Arial"/>
                <w:b/>
                <w:sz w:val="16"/>
                <w:szCs w:val="16"/>
              </w:rPr>
              <w:t>Ocena końcowa przedmiotu Mikrobiologia kliniczna</w:t>
            </w:r>
            <w:r w:rsidR="00E03D4D" w:rsidRPr="00E03D4D">
              <w:rPr>
                <w:rFonts w:ascii="Arial" w:hAnsi="Arial" w:cs="Arial"/>
                <w:b/>
                <w:sz w:val="16"/>
                <w:szCs w:val="16"/>
              </w:rPr>
              <w:t>, wpisywana do eHMS,</w:t>
            </w: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 to wypadkowa średniej ocen pozytywnych z okresowych sprawdzianów pisemnych (50%) oraz oceny z egzaminu pisemnego (50%).</w:t>
            </w:r>
          </w:p>
          <w:p w:rsidR="00E03D4D" w:rsidRPr="00E03D4D" w:rsidRDefault="00E03D4D" w:rsidP="00E03D4D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03D4D" w:rsidRDefault="00E03D4D" w:rsidP="00562D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W przypadku pozytywnego ocenienia aktywności studenta na ćwiczeniach (przyznanie „+”), średnia wyliczona z ćwiczeń i egzaminu, podnoszona  jest o 0.25. </w:t>
            </w:r>
          </w:p>
          <w:p w:rsidR="00562D5C" w:rsidRPr="00F179BF" w:rsidRDefault="00562D5C" w:rsidP="00562D5C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81F8F" w:rsidRPr="00F179BF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 xml:space="preserve">Sale dydaktyczne i </w:t>
            </w:r>
            <w:proofErr w:type="spellStart"/>
            <w:r w:rsidRPr="00F179BF">
              <w:rPr>
                <w:rFonts w:ascii="Arial" w:hAnsi="Arial" w:cs="Arial"/>
                <w:b/>
                <w:sz w:val="16"/>
                <w:szCs w:val="16"/>
              </w:rPr>
              <w:t>labolatoryjne</w:t>
            </w:r>
            <w:proofErr w:type="spellEnd"/>
            <w:r w:rsidR="00E03D4D">
              <w:rPr>
                <w:rFonts w:ascii="Arial" w:hAnsi="Arial" w:cs="Arial"/>
                <w:b/>
                <w:sz w:val="16"/>
                <w:szCs w:val="16"/>
              </w:rPr>
              <w:t xml:space="preserve"> Zakładu Mikrobiologii, Katedry Nauk Przedklinicznych, Instytutu Medycyny Weterynaryjnej SGGW</w:t>
            </w:r>
          </w:p>
        </w:tc>
      </w:tr>
      <w:tr w:rsidR="00881F8F" w:rsidRPr="00F179BF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881F8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Literatura podstawowa i uzupełniająca:</w:t>
            </w:r>
          </w:p>
          <w:p w:rsidR="00E03D4D" w:rsidRPr="00562D5C" w:rsidRDefault="00E03D4D" w:rsidP="00E03D4D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03D4D">
              <w:rPr>
                <w:rFonts w:ascii="Arial" w:hAnsi="Arial" w:cs="Arial"/>
                <w:b/>
                <w:sz w:val="16"/>
                <w:szCs w:val="16"/>
              </w:rPr>
              <w:t xml:space="preserve">1. </w:t>
            </w:r>
            <w:r w:rsidRPr="00562D5C">
              <w:rPr>
                <w:rFonts w:ascii="Arial" w:hAnsi="Arial" w:cs="Arial"/>
                <w:b/>
                <w:sz w:val="16"/>
                <w:szCs w:val="16"/>
              </w:rPr>
              <w:t xml:space="preserve">Malicki K., Binek M.: Zarys Klinicznej Bakteriologii Weterynaryjnej, tom I </w:t>
            </w:r>
            <w:proofErr w:type="spellStart"/>
            <w:r w:rsidRPr="00562D5C">
              <w:rPr>
                <w:rFonts w:ascii="Arial" w:hAnsi="Arial" w:cs="Arial"/>
                <w:b/>
                <w:sz w:val="16"/>
                <w:szCs w:val="16"/>
              </w:rPr>
              <w:t>i</w:t>
            </w:r>
            <w:proofErr w:type="spellEnd"/>
            <w:r w:rsidRPr="00562D5C">
              <w:rPr>
                <w:rFonts w:ascii="Arial" w:hAnsi="Arial" w:cs="Arial"/>
                <w:b/>
                <w:sz w:val="16"/>
                <w:szCs w:val="16"/>
              </w:rPr>
              <w:t xml:space="preserve"> II, Wyd. </w:t>
            </w:r>
            <w:r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SGGW, 2004.</w:t>
            </w:r>
          </w:p>
          <w:p w:rsidR="00E03D4D" w:rsidRPr="00562D5C" w:rsidRDefault="00E03D4D" w:rsidP="00E03D4D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2. Quinn P.J., Markey B.K, Leonard F.C., Hartigan P., Fanning S., </w:t>
            </w:r>
            <w:proofErr w:type="spellStart"/>
            <w:r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FitzPatrick</w:t>
            </w:r>
            <w:proofErr w:type="spellEnd"/>
            <w:r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E.S.: Veterinary Microbiology and Microbial Disease. Wiley-Blackwell, 2011.</w:t>
            </w:r>
          </w:p>
          <w:p w:rsidR="00562D5C" w:rsidRDefault="00E03D4D" w:rsidP="00E03D4D">
            <w:pPr>
              <w:spacing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3.</w:t>
            </w:r>
            <w:r w:rsidR="00562D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="00562D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Heczko</w:t>
            </w:r>
            <w:proofErr w:type="spellEnd"/>
            <w:r w:rsidR="00562D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 P.B., Pietrzyk A., Wróblewska M. Mikrobiologia lekarska, PZWL Wydawnictwo lekarskie, 2016</w:t>
            </w:r>
            <w:r w:rsid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03D4D" w:rsidRPr="00562D5C" w:rsidRDefault="00562D5C" w:rsidP="00E03D4D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4.</w:t>
            </w:r>
            <w:proofErr w:type="spellStart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Songer</w:t>
            </w:r>
            <w:proofErr w:type="spellEnd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G.J., Post K.W.: Veterinary microbiology: bacterial and fungal agents of animal disease. Elsevier, 2005.</w:t>
            </w:r>
          </w:p>
          <w:p w:rsidR="00881F8F" w:rsidRPr="00562D5C" w:rsidRDefault="00562D5C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5</w:t>
            </w:r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Gyles</w:t>
            </w:r>
            <w:proofErr w:type="spellEnd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C.L., Prescott J.F., </w:t>
            </w:r>
            <w:proofErr w:type="spellStart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Songer</w:t>
            </w:r>
            <w:proofErr w:type="spellEnd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J.G., </w:t>
            </w:r>
            <w:proofErr w:type="spellStart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Thoen</w:t>
            </w:r>
            <w:proofErr w:type="spellEnd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Ch.O</w:t>
            </w:r>
            <w:proofErr w:type="spellEnd"/>
            <w:r w:rsidR="00E03D4D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>.: Pathogenesis of bacterial infections in animals. Wiley-Blackwell, 2010.</w:t>
            </w:r>
          </w:p>
          <w:p w:rsidR="00EB655C" w:rsidRPr="00562D5C" w:rsidRDefault="00562D5C" w:rsidP="00562D5C">
            <w:pPr>
              <w:spacing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6</w:t>
            </w:r>
            <w:r w:rsidR="00EB655C" w:rsidRPr="00562D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. </w:t>
            </w:r>
            <w:proofErr w:type="spellStart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Markey</w:t>
            </w:r>
            <w:proofErr w:type="spellEnd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 B., Leonard F., </w:t>
            </w:r>
            <w:proofErr w:type="spellStart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Archambault</w:t>
            </w:r>
            <w:proofErr w:type="spellEnd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 M., </w:t>
            </w:r>
            <w:proofErr w:type="spellStart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Cullinane</w:t>
            </w:r>
            <w:proofErr w:type="spellEnd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 A., </w:t>
            </w:r>
            <w:proofErr w:type="spellStart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Maguire</w:t>
            </w:r>
            <w:proofErr w:type="spellEnd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 D.: </w:t>
            </w:r>
            <w:proofErr w:type="spellStart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Clinical</w:t>
            </w:r>
            <w:proofErr w:type="spellEnd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Veterinary</w:t>
            </w:r>
            <w:proofErr w:type="spellEnd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Microbiology</w:t>
            </w:r>
            <w:proofErr w:type="spellEnd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Mosby</w:t>
            </w:r>
            <w:proofErr w:type="spellEnd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Elsevier</w:t>
            </w:r>
            <w:proofErr w:type="spellEnd"/>
            <w:r w:rsidR="00EB655C" w:rsidRPr="00562D5C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FFFFFF"/>
              </w:rPr>
              <w:t>, 2013</w:t>
            </w:r>
          </w:p>
        </w:tc>
      </w:tr>
      <w:tr w:rsidR="00881F8F" w:rsidRPr="00F179BF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881F8F" w:rsidRPr="00F179BF" w:rsidRDefault="00881F8F" w:rsidP="00881F8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F179BF"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</w:tc>
      </w:tr>
    </w:tbl>
    <w:p w:rsidR="00ED11F9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52046D" w:rsidRDefault="0052046D" w:rsidP="00ED11F9">
      <w:pPr>
        <w:rPr>
          <w:rFonts w:ascii="Arial" w:hAnsi="Arial" w:cs="Arial"/>
          <w:sz w:val="16"/>
        </w:rPr>
      </w:pPr>
    </w:p>
    <w:p w:rsidR="0052046D" w:rsidRPr="00C56A73" w:rsidRDefault="0052046D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ED11F9" w:rsidP="002171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106901">
        <w:tc>
          <w:tcPr>
            <w:tcW w:w="1547" w:type="dxa"/>
          </w:tcPr>
          <w:p w:rsidR="0093211F" w:rsidRPr="00C56A73" w:rsidRDefault="0093211F" w:rsidP="006478A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kategoria efektu</w:t>
            </w:r>
          </w:p>
        </w:tc>
        <w:tc>
          <w:tcPr>
            <w:tcW w:w="4559" w:type="dxa"/>
          </w:tcPr>
          <w:p w:rsidR="0093211F" w:rsidRPr="00C56A73" w:rsidRDefault="0093211F" w:rsidP="006478A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</w:tcPr>
          <w:p w:rsidR="0093211F" w:rsidRPr="00C56A73" w:rsidRDefault="0093211F" w:rsidP="008F7E6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</w:tcPr>
          <w:p w:rsidR="0093211F" w:rsidRPr="00C56A73" w:rsidRDefault="0093211F" w:rsidP="008F7E6F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10690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</w:t>
            </w:r>
            <w:r w:rsidR="005D7CA1">
              <w:rPr>
                <w:rFonts w:ascii="Arial" w:hAnsi="Arial" w:cs="Arial"/>
                <w:bCs/>
                <w:color w:val="A6A6A6"/>
                <w:sz w:val="18"/>
                <w:szCs w:val="18"/>
              </w:rPr>
              <w:t>–</w:t>
            </w: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 </w:t>
            </w:r>
            <w:r w:rsidR="005D7CA1">
              <w:rPr>
                <w:rFonts w:ascii="Arial" w:hAnsi="Arial" w:cs="Arial"/>
                <w:bCs/>
                <w:color w:val="A6A6A6"/>
                <w:sz w:val="18"/>
                <w:szCs w:val="18"/>
              </w:rPr>
              <w:t>1</w:t>
            </w:r>
          </w:p>
        </w:tc>
        <w:tc>
          <w:tcPr>
            <w:tcW w:w="4559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81081">
              <w:rPr>
                <w:rFonts w:ascii="Arial" w:hAnsi="Arial" w:cs="Arial"/>
                <w:bCs/>
                <w:sz w:val="16"/>
                <w:szCs w:val="16"/>
              </w:rPr>
              <w:t>podstawy funkcjonowania drobnoustrojów i ich rolę w różnych zwierzęcych ekosystemach,</w:t>
            </w:r>
          </w:p>
        </w:tc>
        <w:tc>
          <w:tcPr>
            <w:tcW w:w="2999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K_W01, K_W03</w:t>
            </w:r>
          </w:p>
        </w:tc>
        <w:tc>
          <w:tcPr>
            <w:tcW w:w="1387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C9073D">
              <w:rPr>
                <w:rFonts w:ascii="Arial" w:hAnsi="Arial" w:cs="Arial"/>
                <w:bCs/>
                <w:sz w:val="18"/>
                <w:szCs w:val="18"/>
              </w:rPr>
              <w:t>, 2</w:t>
            </w:r>
          </w:p>
        </w:tc>
      </w:tr>
      <w:tr w:rsidR="0093211F" w:rsidRPr="00C56A73" w:rsidTr="00106901">
        <w:tc>
          <w:tcPr>
            <w:tcW w:w="1547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  <w:r>
              <w:rPr>
                <w:rFonts w:ascii="Arial" w:hAnsi="Arial" w:cs="Arial"/>
                <w:bCs/>
                <w:color w:val="A6A6A6"/>
                <w:sz w:val="18"/>
                <w:szCs w:val="18"/>
              </w:rPr>
              <w:t>2</w:t>
            </w:r>
          </w:p>
        </w:tc>
        <w:tc>
          <w:tcPr>
            <w:tcW w:w="4559" w:type="dxa"/>
          </w:tcPr>
          <w:p w:rsidR="005D7CA1" w:rsidRPr="00381081" w:rsidRDefault="005D7CA1" w:rsidP="005D7CA1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81081">
              <w:rPr>
                <w:rFonts w:ascii="Arial" w:hAnsi="Arial" w:cs="Arial"/>
                <w:bCs/>
                <w:sz w:val="16"/>
                <w:szCs w:val="16"/>
              </w:rPr>
              <w:t>różne grupy bakterii, grzybów i wirusów, wywoływane przez nie choroby, czynniki warunkujące chorobotwórczość drobnoustrojów oraz mechanizmy patogenezy</w:t>
            </w:r>
          </w:p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K_W01</w:t>
            </w:r>
          </w:p>
        </w:tc>
        <w:tc>
          <w:tcPr>
            <w:tcW w:w="1387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10690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  <w:r w:rsidR="005D7CA1">
              <w:rPr>
                <w:rFonts w:ascii="Arial" w:hAnsi="Arial" w:cs="Arial"/>
                <w:bCs/>
                <w:color w:val="A6A6A6"/>
                <w:sz w:val="18"/>
                <w:szCs w:val="18"/>
              </w:rPr>
              <w:t>1</w:t>
            </w:r>
          </w:p>
        </w:tc>
        <w:tc>
          <w:tcPr>
            <w:tcW w:w="4559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81081">
              <w:rPr>
                <w:rFonts w:ascii="Arial" w:hAnsi="Arial" w:cs="Arial"/>
                <w:bCs/>
                <w:sz w:val="16"/>
                <w:szCs w:val="16"/>
              </w:rPr>
              <w:t>posług</w:t>
            </w:r>
            <w:r>
              <w:rPr>
                <w:rFonts w:ascii="Arial" w:hAnsi="Arial" w:cs="Arial"/>
                <w:bCs/>
                <w:sz w:val="16"/>
                <w:szCs w:val="16"/>
              </w:rPr>
              <w:t>iwać</w:t>
            </w:r>
            <w:r w:rsidRPr="00381081">
              <w:rPr>
                <w:rFonts w:ascii="Arial" w:hAnsi="Arial" w:cs="Arial"/>
                <w:bCs/>
                <w:sz w:val="16"/>
                <w:szCs w:val="16"/>
              </w:rPr>
              <w:t xml:space="preserve"> się zasadami i technikami pracy w laboratorium mikrobiologicznym, zna zasady pobierania i przesyłania materiałów biologicznych do badań laboratoryjnych, nabył umiejętności izolacji i rozpoznawania czynników zakaźnych</w:t>
            </w:r>
          </w:p>
        </w:tc>
        <w:tc>
          <w:tcPr>
            <w:tcW w:w="2999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K_U04</w:t>
            </w:r>
          </w:p>
        </w:tc>
        <w:tc>
          <w:tcPr>
            <w:tcW w:w="1387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106901">
        <w:tc>
          <w:tcPr>
            <w:tcW w:w="1547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  <w:r>
              <w:rPr>
                <w:rFonts w:ascii="Arial" w:hAnsi="Arial" w:cs="Arial"/>
                <w:bCs/>
                <w:color w:val="A6A6A6"/>
                <w:sz w:val="18"/>
                <w:szCs w:val="18"/>
              </w:rPr>
              <w:t>2</w:t>
            </w:r>
          </w:p>
        </w:tc>
        <w:tc>
          <w:tcPr>
            <w:tcW w:w="4559" w:type="dxa"/>
          </w:tcPr>
          <w:p w:rsidR="005D7CA1" w:rsidRPr="00381081" w:rsidRDefault="005D7CA1" w:rsidP="005D7CA1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81081">
              <w:rPr>
                <w:rFonts w:ascii="Arial" w:hAnsi="Arial" w:cs="Arial"/>
                <w:bCs/>
                <w:sz w:val="16"/>
                <w:szCs w:val="16"/>
              </w:rPr>
              <w:t>interpret</w:t>
            </w:r>
            <w:r>
              <w:rPr>
                <w:rFonts w:ascii="Arial" w:hAnsi="Arial" w:cs="Arial"/>
                <w:bCs/>
                <w:sz w:val="16"/>
                <w:szCs w:val="16"/>
              </w:rPr>
              <w:t>ować</w:t>
            </w:r>
            <w:r w:rsidRPr="00381081">
              <w:rPr>
                <w:rFonts w:ascii="Arial" w:hAnsi="Arial" w:cs="Arial"/>
                <w:bCs/>
                <w:sz w:val="16"/>
                <w:szCs w:val="16"/>
              </w:rPr>
              <w:t xml:space="preserve"> wyniki badań mikrobiologicznych</w:t>
            </w:r>
          </w:p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K_U06</w:t>
            </w:r>
          </w:p>
        </w:tc>
        <w:tc>
          <w:tcPr>
            <w:tcW w:w="1387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10690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5D7CA1" w:rsidP="00F327E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81081">
              <w:rPr>
                <w:rFonts w:ascii="Arial" w:hAnsi="Arial" w:cs="Arial"/>
                <w:bCs/>
                <w:sz w:val="16"/>
                <w:szCs w:val="16"/>
              </w:rPr>
              <w:t>uczenia się przez całe życie</w:t>
            </w:r>
          </w:p>
        </w:tc>
        <w:tc>
          <w:tcPr>
            <w:tcW w:w="2999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K_K01</w:t>
            </w:r>
          </w:p>
        </w:tc>
        <w:tc>
          <w:tcPr>
            <w:tcW w:w="1387" w:type="dxa"/>
          </w:tcPr>
          <w:p w:rsidR="0093211F" w:rsidRPr="00C56A73" w:rsidRDefault="005D7CA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B2721F" w:rsidRPr="00C56A73" w:rsidRDefault="0093211F" w:rsidP="006F0426">
      <w:pPr>
        <w:pStyle w:val="Default"/>
        <w:spacing w:line="360" w:lineRule="auto"/>
        <w:ind w:left="1" w:hanging="1"/>
        <w:jc w:val="both"/>
        <w:rPr>
          <w:rFonts w:ascii="Arial" w:hAnsi="Arial" w:cs="Arial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BBD" w:rsidRDefault="00E05BBD" w:rsidP="002C0CA5">
      <w:pPr>
        <w:spacing w:line="240" w:lineRule="auto"/>
      </w:pPr>
      <w:r>
        <w:separator/>
      </w:r>
    </w:p>
  </w:endnote>
  <w:endnote w:type="continuationSeparator" w:id="0">
    <w:p w:rsidR="00E05BBD" w:rsidRDefault="00E05BB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BBD" w:rsidRDefault="00E05BBD" w:rsidP="002C0CA5">
      <w:pPr>
        <w:spacing w:line="240" w:lineRule="auto"/>
      </w:pPr>
      <w:r>
        <w:separator/>
      </w:r>
    </w:p>
  </w:footnote>
  <w:footnote w:type="continuationSeparator" w:id="0">
    <w:p w:rsidR="00E05BBD" w:rsidRDefault="00E05BB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06BA2"/>
    <w:rsid w:val="000834BC"/>
    <w:rsid w:val="000C4232"/>
    <w:rsid w:val="000D6E6B"/>
    <w:rsid w:val="00106901"/>
    <w:rsid w:val="00112A84"/>
    <w:rsid w:val="001B43F3"/>
    <w:rsid w:val="001C5F03"/>
    <w:rsid w:val="001E14EC"/>
    <w:rsid w:val="001F4326"/>
    <w:rsid w:val="002068B1"/>
    <w:rsid w:val="00207BBF"/>
    <w:rsid w:val="00211C12"/>
    <w:rsid w:val="00216677"/>
    <w:rsid w:val="002171E9"/>
    <w:rsid w:val="00225168"/>
    <w:rsid w:val="0022524E"/>
    <w:rsid w:val="00267777"/>
    <w:rsid w:val="00275C3D"/>
    <w:rsid w:val="00287916"/>
    <w:rsid w:val="002C0CA5"/>
    <w:rsid w:val="002D7C51"/>
    <w:rsid w:val="002F13CD"/>
    <w:rsid w:val="00302F20"/>
    <w:rsid w:val="00322D59"/>
    <w:rsid w:val="003320C6"/>
    <w:rsid w:val="00341D25"/>
    <w:rsid w:val="003606EE"/>
    <w:rsid w:val="0036131B"/>
    <w:rsid w:val="00381081"/>
    <w:rsid w:val="00390DD1"/>
    <w:rsid w:val="003B680D"/>
    <w:rsid w:val="003E4A78"/>
    <w:rsid w:val="00403289"/>
    <w:rsid w:val="004554B7"/>
    <w:rsid w:val="00467E50"/>
    <w:rsid w:val="0047723F"/>
    <w:rsid w:val="004D74B1"/>
    <w:rsid w:val="004F5168"/>
    <w:rsid w:val="005124F5"/>
    <w:rsid w:val="0052046D"/>
    <w:rsid w:val="0054677A"/>
    <w:rsid w:val="00562D5C"/>
    <w:rsid w:val="005D7CA1"/>
    <w:rsid w:val="005F07D9"/>
    <w:rsid w:val="0062445C"/>
    <w:rsid w:val="00633EE6"/>
    <w:rsid w:val="006476C3"/>
    <w:rsid w:val="006536A8"/>
    <w:rsid w:val="006559E9"/>
    <w:rsid w:val="006674DC"/>
    <w:rsid w:val="00671520"/>
    <w:rsid w:val="0069283E"/>
    <w:rsid w:val="006A6D90"/>
    <w:rsid w:val="006B7D3E"/>
    <w:rsid w:val="006C766B"/>
    <w:rsid w:val="006D13D4"/>
    <w:rsid w:val="006F0426"/>
    <w:rsid w:val="007019D5"/>
    <w:rsid w:val="007150FD"/>
    <w:rsid w:val="0072568B"/>
    <w:rsid w:val="007263E2"/>
    <w:rsid w:val="00735F91"/>
    <w:rsid w:val="007525DA"/>
    <w:rsid w:val="007C18AC"/>
    <w:rsid w:val="007D736E"/>
    <w:rsid w:val="00860FAB"/>
    <w:rsid w:val="00881F8F"/>
    <w:rsid w:val="008C5679"/>
    <w:rsid w:val="008E2B02"/>
    <w:rsid w:val="008F7E6F"/>
    <w:rsid w:val="0090533B"/>
    <w:rsid w:val="009206AC"/>
    <w:rsid w:val="00925376"/>
    <w:rsid w:val="0093211F"/>
    <w:rsid w:val="00942E6D"/>
    <w:rsid w:val="00965A2D"/>
    <w:rsid w:val="00966E0B"/>
    <w:rsid w:val="00984F53"/>
    <w:rsid w:val="009B21A4"/>
    <w:rsid w:val="009D27C3"/>
    <w:rsid w:val="009E624A"/>
    <w:rsid w:val="009E6B5E"/>
    <w:rsid w:val="009E71F1"/>
    <w:rsid w:val="009F645C"/>
    <w:rsid w:val="00A10863"/>
    <w:rsid w:val="00A43564"/>
    <w:rsid w:val="00A57B01"/>
    <w:rsid w:val="00A72A67"/>
    <w:rsid w:val="00A82087"/>
    <w:rsid w:val="00AC23E1"/>
    <w:rsid w:val="00B166F7"/>
    <w:rsid w:val="00B2721F"/>
    <w:rsid w:val="00B45553"/>
    <w:rsid w:val="00B63E57"/>
    <w:rsid w:val="00B77BD6"/>
    <w:rsid w:val="00BC0F12"/>
    <w:rsid w:val="00BC6B31"/>
    <w:rsid w:val="00BD6DAF"/>
    <w:rsid w:val="00BE1179"/>
    <w:rsid w:val="00BF1BC0"/>
    <w:rsid w:val="00BF3C83"/>
    <w:rsid w:val="00BF3F93"/>
    <w:rsid w:val="00C24FF3"/>
    <w:rsid w:val="00C56A73"/>
    <w:rsid w:val="00C65CE4"/>
    <w:rsid w:val="00C9073D"/>
    <w:rsid w:val="00CD0414"/>
    <w:rsid w:val="00CF4E1B"/>
    <w:rsid w:val="00CF7B24"/>
    <w:rsid w:val="00D36DC6"/>
    <w:rsid w:val="00DB036D"/>
    <w:rsid w:val="00E03D4D"/>
    <w:rsid w:val="00E05BBD"/>
    <w:rsid w:val="00E60865"/>
    <w:rsid w:val="00E66BEA"/>
    <w:rsid w:val="00E84E69"/>
    <w:rsid w:val="00EB3F57"/>
    <w:rsid w:val="00EB4C06"/>
    <w:rsid w:val="00EB655C"/>
    <w:rsid w:val="00EC19E7"/>
    <w:rsid w:val="00EC1DC1"/>
    <w:rsid w:val="00ED11F9"/>
    <w:rsid w:val="00EE4F54"/>
    <w:rsid w:val="00EE788E"/>
    <w:rsid w:val="00F17173"/>
    <w:rsid w:val="00F179BF"/>
    <w:rsid w:val="00F327E9"/>
    <w:rsid w:val="00F5776D"/>
    <w:rsid w:val="00F73B44"/>
    <w:rsid w:val="00FB2DB7"/>
    <w:rsid w:val="00FC1685"/>
    <w:rsid w:val="00F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65D98-EC0B-4948-8B9C-22D5A045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2022-02-22T06:56:00Z</dcterms:created>
  <dcterms:modified xsi:type="dcterms:W3CDTF">2022-02-22T06:56:00Z</dcterms:modified>
</cp:coreProperties>
</file>